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50 vom 11. November 2020</w:t>
      </w:r>
    </w:p>
    <w:p>
      <w:r>
        <w:t>VS Kantonsgericht, 2020-11-11, DE</w:t>
      </w:r>
    </w:p>
    <w:p>
      <w:r>
        <w:rPr>
          <w:b/>
        </w:rPr>
        <w:t xml:space="preserve">Quelle: </w:t>
      </w:r>
      <w:r>
        <w:t>https://mcp.opencaselaw.ch/entscheid/vs_gerichte_A1 20 50</w:t>
      </w:r>
    </w:p>
    <w:p>
      <w:r>
        <w:t>FR: VS_GERICHTE A1 20 50 du 11 novembre 2020</w:t>
      </w:r>
    </w:p>
    <w:p>
      <w:r>
        <w:t>IT: VS_GERICHTE A1 20 50 del 11 novembre 2020</w:t>
      </w:r>
    </w:p>
    <w:p>
      <w:pPr>
        <w:pStyle w:val="Heading2"/>
      </w:pPr>
      <w:r>
        <w:t>Regeste</w:t>
      </w:r>
    </w:p>
    <w:p>
      <w:r>
        <w:t>Mit Urteil vom 11. November 2020 (2C_927/2020) wies das Bundesgericht eine gegen vor- liegenden Entscheid gerichtete Beschwerde in öffentlich-rechtlichen Angelegenheiten ab. A1 20 50 URTEIL VOM 9. OKTOBER 2020 Kantonsgericht Wallis Öffentlichrechtliche Abteilung Es wirken mit: Christophe Joris, Präsident, Dr. Thierry Schnyder und Thomas Brunner, Richter, sowie Vanessa Brigger, Gerichtsschreiberin, in Sachen V _________, W _________, X _________, Y _________ und Z _________, vertreten durch Rechtsanwalt M _________, gegen STAATSRAT DES KANTONS WALLIS, 1950 Sitten, DIENSTELLE FÜR GRUNDBUCHWESEN, 1950 Sitten, (Handänderungssteuer) Verwaltungsgerichtsbeschwerde gegen den Entscheid vom 5. Februar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angefochtenen Staatsratsentscheids durch diesen berührt und haben ein schutzwürdiges Interesse an dessen Änderung oder Auf- hebung, so dass sie gemäss Art. 80 Abs. 1 lit. a i.V.m. Art. 44 Abs. 1 lit. a VVRG zur Beschwerdeführung legitimiert sind. Auf die im Übrigen form- und fristgerecht einge- reichte Beschwerde ist deshalb einzutreten (Art. 80 Abs. 1 lit. b und c i.V.m. Art. 46 und Art. 48 VVRG).</w:t>
      </w:r>
    </w:p>
    <w:p>
      <w:r>
        <w:t>- 8 -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 beantragen als Beweismittel Urkunden sowie Belege der Vo- rinstanzen. Das Kantonsgericht hat die eingereichten Belege zu den Akten genommen. Die Vorinstanz hat ihre Akten und das Dossier der Dienststelle eingereicht. Die vorhan- denen Akten umfassen mithin die entscheidrelevanten Belege und Sachverhaltsele- 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weshalb auf zusätzliche Beweisabnahmen verzichtet wird.</w:t>
      </w:r>
    </w:p>
    <w:p>
      <w:r>
        <w:rPr>
          <w:b/>
        </w:rPr>
        <w:t>E. 3.1</w:t>
      </w:r>
    </w:p>
    <w:p>
      <w:r>
        <w:t>und 3.3.3; Martin Kocher, Aspekte der steuerlichen Zweidimensionalität - Gedanken- splitter im Licht der bundesgerichtlichen Rechtsprechung, in: OREF [Hrsg.], Au carrefour des contributions, 2020, S. 593, insb. 595).</w:t>
      </w:r>
    </w:p>
    <w:p>
      <w:r>
        <w:rPr>
          <w:b/>
        </w:rPr>
        <w:t>E. 4</w:t>
      </w:r>
    </w:p>
    <w:p>
      <w:r>
        <w:t>Jede Erhebung von Steuern und anderen Abgaben durch Bund, Kantone oder Ge- meinden setzt eine rechtssatzmässige und formell-gesetzliche Grundlage voraus (Lega- litätsprinzip gem. Art. 5 Abs. 1 und 127 Abs. 1 BV [SR 101]; vgl. BGE 145 I 52 E. 5.2.1; 143 I 227 E. 4.2). Mit Blick auf die Normdichte verlangt das Legalitätsprinzip, dass die generell-abstrakte Norm in inhaltlicher Hinsicht den Kreis der Abgabepflichtigen, den Gegenstand und die Bemessung der Abgabe festlegt (BGE 143 I 227 E. 4.2; 143 I 220 E. 5.1.1; Urteil des Bundesgerichts 2C_9/2019 vom 29. Januar 2020 E. 2.1).</w:t>
      </w:r>
    </w:p>
    <w:p>
      <w:r>
        <w:rPr>
          <w:b/>
        </w:rPr>
        <w:t>E. 4.1</w:t>
      </w:r>
    </w:p>
    <w:p>
      <w:r>
        <w:t>Die Handänderungssteuer ist eine Rechtsverkehrs- oder Rechtsübertragungs- steuer. Das Steuerobjekt erfasst regelmässig nicht nur die zivilrechtliche Übertragung des Eigentums an einem Grundstück, sondern auch Rechtsgeschäfte, die es einer Dritt- person ermöglichen, über das Grundstück wirtschaftlich «wie ein Eigentümer» zu verfü- gen. Der Übergang der tatsächlichen Verfügungsgewalt über das Grundstück kann dem- nach entweder mit dem Übergang des Eigentums (zivilrechtliche Handänderungen) oder auch losgelöst davon (wirtschaftliche Handänderungen) erfolgen (Urteile des Bundesge- richts 2C_9/2019 vom 29. Januar 2020 E. 2.4.1 und 2C_469/2017 vom 1. Dezember 2017 E. 2.2; Ernst Blumenstein/Peter Locher, System des schweizerischen Steuer- rechts, 7. A., 2016, S. 245 f.).</w:t>
      </w:r>
    </w:p>
    <w:p>
      <w:r>
        <w:t>- 9 -</w:t>
      </w:r>
    </w:p>
    <w:p>
      <w:r>
        <w:rPr>
          <w:b/>
        </w:rPr>
        <w:t>E. 4.2</w:t>
      </w:r>
    </w:p>
    <w:p>
      <w:r>
        <w:t>Gemäss Art. 1 HG erhebt der Staat eine Handänderungs-, Pfandrechts- und Einre- gistrierungssteuer. Der Steuer unterliegen alle in diesem Gesetz bezeichneten Urkunden und Schriftstücke (Art. 3 Abs. 1 HG). Die Steuer bemisst sich nach der Höhe des in der Urkunde oder im Schriftstück angegebenen Werts, unter Vorbehalt der besonderen Bestimmungen des Gesetzes (Art. 5 HG). Die Art. 6 und 8 HG zeigen die Urkunden und Vorgänge auf, die der Steuer unterliegen. Gemäss Art. 6 Abs. 1 lit. f HG unterliegen der Steuer Urkunden und Schriftstücke, mit denen rechtlich oder wirtschaftlich Eigentum übertragen wird, wie alle Übertragungen von Anteilen an Immobiliengesellschaften, auch Minderheitsbeteiligungen ohne Verfügungsmacht über die Gesellschaftsgrundstücke, die anteilsmässig besteuert werden. Der Gesetzgeber hat in Art. 7 HG eine Legaldefini- tion vorgenommen, wonach lmmobiliengesellschaften im Sinne von Art. 6 Abs. 1 lit. f Gesellschaften sind, deren Zweck oder tatsächliche Tätigkeit ausschliesslich oder min- destens zur Hauptsache im Erwerb, Besitz, Betrieb, in der Verwaltung und im Verkauf von Grundstücken im Sinne von Art. 655 ZGB (SR 210) besteht; die Aktiven müssen im Allgemeinen zu zwei Dritteln aus Grundstücken bestehen und der Ertrag mindestens zu zwei Dritteln aus diesen Tätigkeiten stammen (a). Während die Beschwerdeführer die Qualifikation der AG als Immobiliengesellschaft und die Steuerbemessungsgrundlagen vor dem Kantonsgericht nicht mehr beanstanden, rügen sie aber noch die Entscheide der Vorinstanzen bezüglich des Steuerobjekts und der Steuersubjekte. Hierzu ist Fol- gendes auszuführen:</w:t>
      </w:r>
    </w:p>
    <w:p>
      <w:r>
        <w:rPr>
          <w:b/>
        </w:rPr>
        <w:t>E. 4.3</w:t>
      </w:r>
    </w:p>
    <w:p>
      <w:r>
        <w:t>Steuerobjekt oder Steuergegenstand ist der Tatbestand, an den das Gesetz die Ent- stehung der Steuer knüpft. Das Steuerobjekt umschreibt den Lebenssachverhalt, an den die Leistungspflicht in gegenständlicher Hinsicht geknüpft ist (z. B. Veräusserung), und löst somit bei Vorliegen der subjektiven Voraussetzungen der Steuerpflicht eine be- stimmte Steuer aus (hierzu und nachfolgend Markus Reich, Steuerrecht, 3. A., 2020, S. 120 f.; Ernst Blumenstein/Peter Locher, a.a.O., S. 181 f.). Das Wesen einer Steuer lässt sich über das Steuerobjekt aber vielfach nicht erschliessen, da das Steuerobjekt nicht mit dem Steuergut identisch sein muss. Das Steuergut bzw. der wirtschaftliche Sachver- halt, den der Gesetzgeber mit einer Steuer belegen will, stimmt bei den indirekten Steu- ern nicht mit dem Steuerobjekt überein. Steuerobjekt der Handänderungssteuer ist die rechtsgeschäftliche Übertragung von Grundstücken (Markus Reich, a.a.O., S. 174; Irene Blumenstein, Zum Problem des Steuerobjekts der Handänderungssteuern, ASA 30 S. 209 f.). Wie bereits Irene Blumenstein darlegte, kennt das Zivilrecht eine Reihe von In- stitutionen, die es ermöglichen, die wirtschaftliche Verfügungsgewalt über ein Grund- stück zu übertragen, ohne eine formelle Eigentumsübertragung vorzunehmen. Die Mehr- zahl der Kantone besteuert daher neben den zivilrechtlichen Eigentumsübertragungen</w:t>
      </w:r>
    </w:p>
    <w:p>
      <w:r>
        <w:t>- 10 - auch die wirtschaftlichen Handänderungen (Markus Reich, a.a.O., S. 174 mit Verwei- sen). So hält auch Art. 6 Abs. 1 HG betreffend Steuerobjekt fest, dass der Handände- rungssteuer sämtliche Urkunden und Schriftstücke unterliegen, mit denen rechtlich oder wirtschaftlich Eigentum übertragen wird. Namentlich unter Art. 6 Abs. 1 lit. f HG aufge- listet werden dabei alle Übertragungen von Anteilen an Immobiliengesellschaften.</w:t>
      </w:r>
    </w:p>
    <w:p>
      <w:r>
        <w:rPr>
          <w:b/>
        </w:rPr>
        <w:t>E. 4.3.1</w:t>
      </w:r>
    </w:p>
    <w:p>
      <w:r>
        <w:t>Die Beschwerdeführer machen nun geltend, das Steuerobjekt der Handände- rungssteuer sei der Übergang eines dinglichen Rechts an Grundstücken von einer Per- son auf eine andere. Die Steuer werde auf dem Grundstückgeschäft als solchem erho- ben. Eine Kapitalherabsetzung unterliege niemals einer Handänderungssteuer, da durch sie niemals Eigentum übertragen werde. Die Vorinstanzen hätten den Begriff des Steu- erobjekts in willkürlicher Art und Weise angewandt und so verhindert, dass nicht die 5 Kaufverträge der verbleibenden Aktionäre von den ausscheidenden Aktionären besteu- ert worden seien.</w:t>
      </w:r>
    </w:p>
    <w:p>
      <w:r>
        <w:rPr>
          <w:b/>
        </w:rPr>
        <w:t>E. 4.3.2</w:t>
      </w:r>
    </w:p>
    <w:p>
      <w:r>
        <w:t>Hierzu entgegnete die Dienststelle in der Beschwerdeantwort vom 20. April 2020, dass die insgesamt 1 400 Aktien der beiden austretenden Aktionärinnen von der AG und nicht von den 5 Privatpersonen erworben worden seien. Die Aktien der beiden seien nicht vor der Kapitalherabsetzung an die übrigen Aktionäre verkauft worden, ansonsten die ausscheidenden Aktionärinnen an der ausserordentlichen Generalversammlung nicht hätten mitwirken können. Da mit dem Generalversammlungsbeschluss der Rück- kauf und die Vernichtung der Aktien sowie eine Kapitalherabsetzung durch die AG be- schlossen worden sei und diese Urkunde das steuerauslösende Steuerobjekt darstelle, müsse die Verfügung den Gesamtbetrag der Steuer umfassen. Aus wirtschaftlicher Sicht sei durch das Ausscheiden der beiden Aktionärinnen und die Vernichtung der Aktien der jeweilige Anteil der verbleibenden fünf Aktionäre am Gesellschaftsvermögen gestiegen. Der Rückkauf und die Vernichtung der Aktien sowie die Kapitalherabsetzung stelle eine anteilmässige Übertragung der wirtschaftlichen Verfügungsmacht dar, die den Berech- tigten eine ähnliche Stellung wie bei einer zivilrechtlichen Handänderung einräume und damit eine wirtschaftliche Handänderung darstelle. Steuerobjekt sei der Gesellschafts- beschluss mit der entsprechenden Urkunde. Die in Art. 6 Abs. 1 HG genannte wirtschaft- liche Handänderung sei im Gegensatz zur zivilrechtlichen Handänderung nicht notwen- digerweise mit der Änderung des Eigentümers im Grundbuch verbunden. Das bekann- teste Beispiel einer wirtschaftlichen Handänderung sei die Übertragung von Anteilen an Immobiliengesellschaften.</w:t>
      </w:r>
    </w:p>
    <w:p>
      <w:r>
        <w:t>- 11 -</w:t>
      </w:r>
    </w:p>
    <w:p>
      <w:r>
        <w:rPr>
          <w:b/>
        </w:rPr>
        <w:t>E. 4.3.3</w:t>
      </w:r>
    </w:p>
    <w:p>
      <w:r>
        <w:t>Der Staatsrat hielt im Entscheid fest, bei der Handänderungssteuer handle es sich um eine «Quasi-Handänderungssteuer», weil nicht der Rechtsverkehr als solcher, son- dern die Errichtung von Urkunden hierzu belastet werde. Der Steuer würden alle im Ge- setz bezeichneten Urkunden und Schriftstücke unterliegen (Art. 3 Abs. 1 HG). Der Be- schluss der Generalversammlung der AG vom 8. Juli 2014 in Form einer öffentlichen Urkunde bilde das Steuerobjekt. Gestützt auf Art. 11 lit. l HG werde die Steuer auf der Gegenleistung für den Grundstückserwerb (Wert der Grundstücke) erhoben. Dieser Ent- scheid des Staatsrats ist nicht zu beanstanden. Grundlage des vorliegenden Verfahrens und die erste Rechtshandlung war die Errichtung der öffentlichen Urkunde über die Be- schlüsse der Generalversammlung der AG vom 8. Juli 2014. Durch den Rückkauf der je 700 Namenaktien der beiden austretenden Aktionärinnen durch die AG wurde das Ak- tienkapital um Fr. 1 400 000.-- auf Fr. 3 500 000.-- herabgesetzt. Das Steuerobjekt der Handänderungssteuer basiert vorliegend auf dieser Urkunde (Art. 3 HG). Art. 6 Abs. 1 HG hält betreffend Steuerobjekt fest, dass der Handänderungssteuer sämtliche Urkun- den und Schriftstücke unterliegen, mit denen rechtlich oder wirtschaftlich Eigentum über- tragen wird, namentlich alle Übertragungen von Anteilen an Immobiliengesellschaften (lit. f). Dabei handelt es sich in unserem Fall um eine wirtschaftliche Handänderung, wel- che sich im Gegensatz zur zivilrechtlichen Handänderung nicht in einem Grundbuchein- trag niederschlägt. Es werden lediglich die wesentlichen Herrschaftsbefugnisse über Grundstücke vom bisherigen auf einen anderen Rechtsträger übertragen, ohne dass da- mit ein formeller zivilrechtlicher Eigentumswechsel verbunden wäre (Felix Richner, in: Alfred Koller, Der Grundstückkauf, 3. A., 2017, S. 511). Die wirtschaftliche Handände- rung ist im HG explizit aufgeführt. Entscheidend ist nun, dass die Besteuerung der Ur- kunde nach dem Wert der Urkunde erfolgt. Die Besteuerung hängt deshalb nicht von dem der Urkunde zugrundeliegenden Rechtsverhältnis, sondern von der Form ab, die dieses annimmt (BGE 117 Ia 516 E. 2b). Für eine Stempelsteuer im Kanton Tessin hielt das Bundesgericht in diesem Entscheid fest, dass die Steuer eine rein formale Abgabe darstelle, die von den Gründen der Parteien für die Erstellung der Urkunde, vom damit verfolgten Zweck und deren Wirkung völlig unabhängig sei («L'applicazione del bollo non dipende quindi dal rapporto giuridico sostanziale su cui si fonda l'atto, ma dalla forma che il rapporto giuridico assume»). Das Recht, eine Steuer zu erheben, entsteht mit der Errichtung der Urkunde. Die fünf verbleibenden Aktionäre haben nicht als Privatperso- nen in einem ersten Schritt die Aktien erworben, sondern die AG hat die Aktien erworben. Bei dieser Beschlussfassung haben alle 7 Aktionäre mitgewirkt. Das Steuerobjekt ist so- mit die öffentliche Urkunde vom 8. Juli 2014, auf deren Grundlage die Handänderungs- steuer bemessen wird, und zwar auf der Gegenleistung für den Grundstückerwerb (Art. 11 Abs. 1 lit. l HG).</w:t>
      </w:r>
    </w:p>
    <w:p>
      <w:r>
        <w:t>- 12 -</w:t>
      </w:r>
    </w:p>
    <w:p>
      <w:r>
        <w:rPr>
          <w:b/>
        </w:rPr>
        <w:t>E. 4.4</w:t>
      </w:r>
    </w:p>
    <w:p>
      <w:r>
        <w:t>Eine Steuer ist gegenüber dem Steuersubjekt zu veranlagen, welches Anspruch auf die gesetzlichen Verfahrensgarantien und ein Rechtsmittelverfahren hat. Eine Steuer kann nicht gegenüber einer Drittperson festgesetzt werden, ohne dass der Steuerpflich- tige seine Rechte geltend machen könnte. Das Steuersubjekt ist jene Person, die dem Staat im Steuerrechtsverhältnis gegenübertritt (Ernst Höhn/Robert Waldburger, Steuer- recht, 9. A, 2000, S. 221; Ernst Blumenstein/Peter Locher, a.a.O., S. 65 f.). Es hat die aus dem Steuerrechtsverhältnis entspringenden materiellen und verfahrensmässigen Verpflichtungen zu erfüllen. In Rechtsbeziehungen zwischen Beteiligungsinhabern und der von ihnen gehaltenen Kapitalgesellschaften kann es zu Problemen kommen. Zu die- sen zweidimensionalen Sachverhalten hat das Bundesgericht wiederholt festgehalten, dass zum einen von der Ebene der Gesellschaft auszugehen sei und zum andern auf Ebene des Anteilsinhabers kein eigentlicher Aufrechnungsautomatismus bestehe. Be- stand, Qualifikation und Höhe einer Aufrechnung folgten auf Ebene der Gesellschaft ei- nerseits und jener des Anteilsinhabers anderseits (Urteile des Bundesgerichts 2C_576/2020 vom 17. August 2020 E. 3.2.1; 2C_32/2018 vom 11. November 2019 E.</w:t>
      </w:r>
    </w:p>
    <w:p>
      <w:r>
        <w:rPr>
          <w:b/>
        </w:rPr>
        <w:t>E. 4.4.1</w:t>
      </w:r>
    </w:p>
    <w:p>
      <w:r>
        <w:t>Steuersubjekt der Handänderungssteuer ist gemäss Art. 10 Abs. 1 HG der Erwer- ber oder der Pfandeigentümer. An einem Steuerrechtsverhältnis können nun mehrere Steuersubjekte gleichzeitig beteiligt sein. Dadurch entsteht ein Rechtsgebilde, das mit dem zivilrechtlichen Solidarschuldverhältnis eine gewisse Ähnlichkeit hat, weshalb hier von einer Steuersolidarität gesprochen werden kann (hierzu und nachfolgend Ernst Blu- menstein/Peter Locher, a.a.O., S. 69). Diese kann aber nur auf dem Gesetz beruhen. Die Entstehung der Steuersolidarität ist darauf zurückzuführen, dass an dem das Steu- erobjekt bildenden Sachverhalt mehrere Personen in gleicher Weise beteiligt sind. Die an diesen Vorgang geknüpften steuerrechtlichen Wirkungen können naturgemäss nur einmal entstehen, aber sie treffen jedes einzelne daran beteiligte Steuersubjekt. Art. 10 Abs. 2 HG sieht nun ausdrücklich vor, dass die Vertragsparteien für die Bezahlung der Steuer solidarisch haften.</w:t>
      </w:r>
    </w:p>
    <w:p>
      <w:r>
        <w:rPr>
          <w:b/>
        </w:rPr>
        <w:t>E. 4.4.2</w:t>
      </w:r>
    </w:p>
    <w:p>
      <w:r>
        <w:t>Die Beschwerdeführer machten in der Replik geltend, die Dienststelle behaupte, dass nicht die verbleibenden 5 Aktionäre die Aktien gekauft hätten, sondern die AG selbst. Bisher habe die Dienststelle aber dargelegt, dass die zwei Anteile von je 1/7 an den Grundstücken auf die verbleibenden Aktionäre übertragen worden seien und ge- stützt darauf sei auch die Rechnung ausgestellt worden. Die Verfügung sei aber nicht an</w:t>
      </w:r>
    </w:p>
    <w:p>
      <w:r>
        <w:t>- 13 - die AG, sondern an die 5 verbleibenden Aktionäre zugestellt worden. Hätte die AG ef- fektiv die Aktien der ausscheidenden Aktionäre zurückgekauft, sei die Steuerverfügung gar nicht korrekt zugestellt worden, nämlich statt an die AG an deren Adresse an der xxxstrasse an die verbleibenden Aktionäre z H. von V _________. Würde man diese neue Argumentation der Dienststelle übernehmen, sei die gesamte Steuerforderung ge- genüber der AG verjährt (Art. 34 Abs. 1 HG). Hierzu antwortete die Dienststelle, dass an der Generalversammlung alle 7 stimmbe- rechtigten Aktionäre an der Beschlussfassung mitgewirkt und entschieden hätten, dass Aktienkapital durch Rückkauf und Vernichtung herabzusetzen. Somit gehe durch den Rückkauf eigener Aktien der Gesellschaft das wirtschaftliche Eigentum an den Grund- stücken von den zwei ausscheidenden Aktionären der Gesellschaft indirekt auf die ver- bleibenden fünf Aktionäre der Gesellschaft über. Die Verfügungsgewalt für die verblei- benden Aktionäre über die Grundstücke der Gesellschaft werde durch den Rückkauf der eigenen Aktien faktisch erhöht. Die Vernichtung der Aktienzertifikate entspreche somit einer Übertragung der Eigentumsanteile an den Grundstücken zugunsten der verblei- benden Aktionäre. Somit sei die Steuerverfügung richtigerweise den verbleibenden Ak- tionären zugestellt worden. Zudem sehe das Gesetz die Zahlungssolidarität vor. Selbst wenn das Gesetz die Abgabesolidarität nicht ausdrücklich vorsähe, könnte eine solche angenommen werden, sofern es sich um ein unteilbares Steuerobjekt handle. Der Rechtsverkehrsvorgang der Handänderung sei nicht teilbar. Durch die Herabsetzung des Aktienkapitals seien die Berechtigungen der verbleibenden Aktionäre an den Grund- stücken im Eigentum der AG in einem einzigen Rechtsverkehrsvorgang gesamthaft ver- grössert worden. In casu hätten die Betroffenen von der Steuerverfügung Kenntnis er- halten und fristgerecht eine Beschwerde eingereicht, womit ein schwerwiegender Eröff- nungsfehler, der die Nichtigkeit nach sich ziehen würde, ausgeschlossen werden könne.</w:t>
      </w:r>
    </w:p>
    <w:p>
      <w:r>
        <w:rPr>
          <w:b/>
        </w:rPr>
        <w:t>E. 4.4.3</w:t>
      </w:r>
    </w:p>
    <w:p>
      <w:r>
        <w:t>Im vorliegenden Fall teilte der damalige Vertreter der Beschwerdeführer am 26. September 2017 der Dienststelle mit, dass die Steuerrechnung an die A _________ AG, z H. von V _________, xxxstrasse, in B _________ zu adressieren sei. In der Verfügung vom 10. Oktober 2017 ist dann festgehalten, dass die beiden Akti- onärinnen wirtschaftlich ihre Anteile von jeweils 1/7 an den Grundstücken der A _________ AG auf die verbleibenden Aktionäre übertragen hätten. Die Steuerrech- nung war an die 5 in der AG verbleibenden Geschwister, z H. von V _________, xxxstrasse in B _________ adressiert. Angesichts der Steuersolidarität ist dieses Vor- gehen nicht zu beanstanden, obwohl die AG als primäre Adressatin auch hätte aufge- führt werden können. Es ist nicht zu bemängeln, von mehreren kraft ihrer Beziehung</w:t>
      </w:r>
    </w:p>
    <w:p>
      <w:r>
        <w:t>- 14 - zum Steuerobjekt als Steuersubjekt in Betracht fallenden Individuen dasjenige auszu- wählen, das die meiste Sicherheit für die richtige Erfüllung der steuerrechtlichen Ver- pflichtung bietet. Den Beschwerdeführern ist kein Rechtsnachteil erwachsen. Die Be- schwerdeführer konnten ihre Rechte geltend machen und sie haben denn auch recht- zeitig eine Beschwerde eingereicht. Ihnen ist kein Nachteil erwachsen, zumal eine Ab- gabesolidarität von Veräusserer und Erwerber besteht. Nach Peter Ruf (Handände- rungsabgaberecht, Diss. Bern 1985, S. 25) bewirkt die Abgabesolidarität eine Verfah- rens- und eine Zahlungssolidarität. Danach kann jeder Abgabepflichtige einzeln den Ver- fahrenspflichten unterliegen und kann diese auch für die andern vornehmen. Es ergibt sich somit, dass die Steuerrechnung rechtmässig zugestellt wurde.</w:t>
      </w:r>
    </w:p>
    <w:p>
      <w:r>
        <w:rPr>
          <w:b/>
        </w:rPr>
        <w:t>E. 4.4.4</w:t>
      </w:r>
    </w:p>
    <w:p>
      <w:r>
        <w:t>Da die Beschwerdeführer im vorliegenden Verfahren keine rechtsgenügende Be- gründung für die behauptete unzulässige Ungleichbehandlung vorbringen und eine sol- che auch nicht ersichtlich ist, wird diese Rüge auch abgewiesen. Zudem geht nach der bundesgerichtlichen Rechtsprechung der Grundsatz der Gesetzmässigkeit demjenigen der Rechtsgleichheit vor. Deshalb kann sich ein Bürger grundsätzlich nicht über eine Verletzung der Rechtsgleichheit beklagen, wenn die Behörde ihm gegenüber das Recht richtig angewandt hat, während es in einem anderen Fall nicht oder falsch angewandt wurde (BGE 126 V 390 E. 6a; Urteil des Bundesgerichts 9C_648/2019 vom 16. Dezem- ber 2019 E. 5.3; Pierre Tschannen/Ulrich Zimmerli/Markus Müller, Allgemeines Verwal- tungsrecht, 4. A., 2014, S. 190).</w:t>
      </w:r>
    </w:p>
    <w:p>
      <w:r>
        <w:rPr>
          <w:b/>
        </w:rPr>
        <w:t>E. 4.5</w:t>
      </w:r>
    </w:p>
    <w:p>
      <w:r>
        <w:t>Bezüglich der Verjährung gilt der allgemeine Rechtsgrundsatz, dass öffentlich-recht- liche Ansprüche - sowohl der Privaten als auch der Gemeinwesen - verjähren, auch wenn keine besondere gesetzliche Anordnung besteht. Dieser Rechtsgrundsatz wird so- wohl auf vermögensrechtliche wie auch auf andere öffentlich-rechtliche Ansprüche an- gewandt (Ulrich Häfelin/Georg Müller/Felix Uhlmann, Allgemeines Verwaltungsrecht, 8. A, 2020, N. 153, 767 ff.; BGE 140 II 384 E. 4.2). Gemäss bundesgerichtlicher Rechtspre- chung gelten für die Bestimmung der Verjährungsfristen für öffentlich-rechtliche Ansprü- che folgende Regeln: Fehlen in den anzuwendenden Erlassen Be-stimmungen über Ver- jährungsfristen, so ist auf öffentlich-rechtliche Regelungen für verwandte Sachverhalte abzustellen, falls es solche nicht gibt, kann das Gericht privatrechtliche Bestimmungen - insbesondere die Art. 127 und 128 OR (SR 220) - analog anwenden oder selber eine Regelung aufstellen (Ulrich Häfelin/Georg Müller/Felix Uhlmann, a.a.O., N. 777; BGE 140 II 384 E. 4.2; 126 II 54 E. 7; Urteil des Kantonsgerichts A1 14 196 vom 7. Mai 2015 E. 4.2 ff.). Art. 34 Abs. 1 HG hält nun fest, dass das Recht, eine Handänderungssteuer zu veranlagen, fünf Jahre nach der Einregistrierung verjährt.</w:t>
      </w:r>
    </w:p>
    <w:p>
      <w:r>
        <w:t>- 15 -</w:t>
      </w:r>
    </w:p>
    <w:p>
      <w:r>
        <w:rPr>
          <w:b/>
        </w:rPr>
        <w:t>E. 4.5.1</w:t>
      </w:r>
    </w:p>
    <w:p>
      <w:r>
        <w:t>Das Abgaberecht unterscheidet zwischen einer Veranlagungs- oder Festset- zungsverjährung und einer Bezugsverjährung (BGE 105 Ib 265 E. 4a). Die Veranla- gungsverjährung bezeichnet die Zeitspanne, innert welcher die Steuerbehörde hoheitlich die Steuerforderung konkretisieren kann (BGE 137 II 17 E. 2.3). Versäumt die Steuerbe- hörde die Veranlagung innert der Frist, geht der Steueranspruch des Fiskus definitiv un- ter, weil der Fiskus das für den Bezug notwendige Recht auf Perfektion der Steuerforde- rung verliert. Ohne Veranlagungsverjährung könnte die fristgemäss eingeleitete Veran- lagung zeitlich unbeschränkt durchgeführt werden (Marco Rostetter, Die Verjährung im Recht der direkten Bundessteuer und der harmonisierten kantonalen Steuern, Schriften- reihe Finanzwissenschaft und Finanzrecht Band/Nr. 115, 2019, S. 10). Mit Bezugsver- jährung wird der Zeitraum bezeichnet, innert welchem eine rechtskräftig veranlagte Steu- erforderung bezogen werden kann.</w:t>
      </w:r>
    </w:p>
    <w:p>
      <w:r>
        <w:rPr>
          <w:b/>
        </w:rPr>
        <w:t>E. 4.5.2</w:t>
      </w:r>
    </w:p>
    <w:p>
      <w:r>
        <w:t>Die Verjährung beginnt grundsätzlich mit der Fälligkeit einer Forderung (Art. 130 OR). Voraussetzung dafür ist das Entstehen der Forderung (Robert K. Däppen, in: Bas- ler Kommentar, Obligationenrecht I, 5. A., Basel 2011, Art. 130 N. 2). Sofern sich aus Gesetz oder der Natur des Rechtsverhältnisses nicht etwas anderes ergibt, wird die For- derung bereits zum Zeitpunkt der Entstehung fällig (Robert K. Däppen, a.a.O., Art. 130 N. 6). Die Urkunden betreffend der ausserordentlichen Generalversammlung, an wel- cher das Ausscheiden von Aktionären, der Rückkauf von Aktien, die Herabsetzung des Aktienkapitals und die entsprechende Feststellung verurkundet wurden, waren im Grundbuch am 9. Juli 2014 bzw. 18. September 2014 einregistriert worden. Die Urkun- den wurden der Dienststelle am 11. September 2017 zur Kenntnis gebracht und diese verfügte die Handänderungssteuer am 10. Oktober 2017. Die Veranlagungsverjährung war somit noch nicht eingetreten.</w:t>
      </w:r>
    </w:p>
    <w:p>
      <w:r>
        <w:rPr>
          <w:b/>
        </w:rPr>
        <w:t>E. 4.5.3</w:t>
      </w:r>
    </w:p>
    <w:p>
      <w:r>
        <w:t>Die Bezugsverjährung hat gewisse Gemeinsamkeiten mit der zivilrechtlichen Ver- jährung von Forderungen (Marco Rostetter, a.a.O., S. 10 f.). Zur Unterbrechung der Ver- jährung bedarf es im Privatrecht qualifizierter Rechtshandlungen wie z. B. der Schuldbe- treibung oder der Anerkennung der Forderung (vgl. Art. 135 OR). Im öffentlichen Recht gelten weniger hohe Anforderungen; die blosse Mitteilung einer Forderung oder die Zu- stellung einer formellen Mahnung reichen bereits aus, um die Verjährung zu unterbre- chen, erst recht eine amtliche Handlung in einem Verwaltungs- oder Verwaltungsge- richtsverfahren (BGE 112 Ia 260 E. 5; Urteil des Bundesgerichts 2P.138/2003/ 2A.251/2003 vom 6. Juni 2003 E. 4.2; ZWR 2004 S. 83). Mit der Unterbrechung beginnt die Verjährung von neuem (vgl. Art. 137 Abs. 1 OR). Mit der Einleitung des Beschwer- deverfahrens ist die Bezugsverjährung auch nicht eingetreten.</w:t>
      </w:r>
    </w:p>
    <w:p>
      <w:r>
        <w:t>- 16 -</w:t>
      </w:r>
    </w:p>
    <w:p>
      <w:r>
        <w:rPr>
          <w:b/>
        </w:rPr>
        <w:t>E. 5</w:t>
      </w:r>
    </w:p>
    <w:p>
      <w:r>
        <w:t>Nach dem Gesagten ist der angefochtene Entscheid des Staatsrats insgesamt recht- lich nicht zu beanstanden und auch nicht willkürlich. Die Verwaltungsgerichtsbe- schwerde ist somit abzuweisen. Bei diesem Verfahrensausgang gelten die Beschwerde- führer als unterliegende Partei mit den entsprechenden Folgen für die Tragung der Kos- ten und für die Zusprechung einer Parteientschädigung.</w:t>
      </w:r>
    </w:p>
    <w:p>
      <w:r>
        <w:rPr>
          <w:b/>
        </w:rPr>
        <w:t>E. 5.1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 welche die Beschwerdeführer in solidarischer Haftbarkeit zu tragen haben.</w:t>
      </w:r>
    </w:p>
    <w:p>
      <w:r>
        <w:rPr>
          <w:b/>
        </w:rPr>
        <w:t>E. 5.2</w:t>
      </w:r>
    </w:p>
    <w:p>
      <w:r>
        <w:t>Die unterliegende Partei hat keinen Anspruch auf eine Parteientschädigung (Art. 91 Abs. 1 VVRG e contrario), weshalb vorliegend von einer solchen abzusehen ist. Den Behörden oder mit öffentlichen Aufgaben betrauten Organisationen, welche obsiegen, darf in der Regel keine Parteientschädigung zugesprochen werden (Art. 91 Abs. 3 VVRG).</w:t>
      </w:r>
    </w:p>
    <w:p>
      <w:r>
        <w:t>- 17 -</w:t>
      </w:r>
    </w:p>
    <w:p>
      <w:r>
        <w:t>Demnach erkennt das Kantonsgericht:</w:t>
      </w:r>
    </w:p>
    <w:p>
      <w:r>
        <w:t>1. Die Beschwerde wird abgewiesen. 2. Die Gerichtskosten von Fr. 1 500.-- werden den Beschwerdeführern in solidarischer Haftbarkeit auferlegt. 3. Es wird keine Parteientschädigung zugesprochen. 4. Das Urteil wird den Beschwerdeführern und dem Staatsrat des Kantons Wallis schriftlich mitgeteilt.</w:t>
      </w:r>
    </w:p>
    <w:p>
      <w:r>
        <w:t>Sitten, 9.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